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09CD" w14:textId="0016069A" w:rsidR="00C60CDC" w:rsidRPr="005D3BB7" w:rsidRDefault="00D6009D" w:rsidP="00D6009D">
      <w:pPr>
        <w:jc w:val="right"/>
        <w:rPr>
          <w:rFonts w:ascii="Tahoma" w:hAnsi="Tahoma" w:cs="Tahoma"/>
        </w:rPr>
      </w:pPr>
      <w:r w:rsidRPr="005D3BB7">
        <w:rPr>
          <w:rFonts w:ascii="Tahoma" w:hAnsi="Tahoma" w:cs="Tahoma"/>
        </w:rPr>
        <w:t xml:space="preserve">Załącznik nr </w:t>
      </w:r>
      <w:r w:rsidR="006D75DB">
        <w:rPr>
          <w:rFonts w:ascii="Tahoma" w:hAnsi="Tahoma" w:cs="Tahoma"/>
        </w:rPr>
        <w:t>3</w:t>
      </w:r>
      <w:r w:rsidR="00113BD2">
        <w:rPr>
          <w:rFonts w:ascii="Tahoma" w:hAnsi="Tahoma" w:cs="Tahoma"/>
        </w:rPr>
        <w:t>a</w:t>
      </w:r>
      <w:r w:rsidRPr="005D3BB7">
        <w:rPr>
          <w:rFonts w:ascii="Tahoma" w:hAnsi="Tahoma" w:cs="Tahoma"/>
        </w:rPr>
        <w:t xml:space="preserve"> do </w:t>
      </w:r>
      <w:r w:rsidR="00113BD2">
        <w:rPr>
          <w:rFonts w:ascii="Tahoma" w:hAnsi="Tahoma" w:cs="Tahoma"/>
        </w:rPr>
        <w:t>Formularza ofertowego</w:t>
      </w:r>
    </w:p>
    <w:p w14:paraId="7B489BE9" w14:textId="77777777" w:rsidR="00D6009D" w:rsidRPr="005D3BB7" w:rsidRDefault="00D6009D" w:rsidP="00D6009D">
      <w:pPr>
        <w:jc w:val="center"/>
        <w:rPr>
          <w:rFonts w:ascii="Tahoma" w:hAnsi="Tahoma" w:cs="Tahoma"/>
          <w:b/>
        </w:rPr>
      </w:pPr>
      <w:r w:rsidRPr="005D3BB7">
        <w:rPr>
          <w:rFonts w:ascii="Tahoma" w:hAnsi="Tahoma" w:cs="Tahoma"/>
          <w:b/>
        </w:rPr>
        <w:t>Formularz produktowy</w:t>
      </w:r>
    </w:p>
    <w:p w14:paraId="2B922D1C" w14:textId="77777777" w:rsidR="00D6009D" w:rsidRPr="005D3BB7" w:rsidRDefault="00D6009D" w:rsidP="00D6009D">
      <w:pPr>
        <w:jc w:val="center"/>
        <w:rPr>
          <w:rFonts w:ascii="Tahoma" w:hAnsi="Tahoma" w:cs="Tahoma"/>
        </w:rPr>
      </w:pPr>
      <w:r w:rsidRPr="005D3BB7">
        <w:rPr>
          <w:rFonts w:ascii="Tahoma" w:hAnsi="Tahoma" w:cs="Tahoma"/>
        </w:rPr>
        <w:t>Dot. urządzeń stanowiących rozwiązania równoważne</w:t>
      </w:r>
    </w:p>
    <w:p w14:paraId="786E1ADC" w14:textId="7F49CE27" w:rsidR="005D3BB7" w:rsidRPr="005D3BB7" w:rsidRDefault="00D6009D">
      <w:pPr>
        <w:rPr>
          <w:rFonts w:ascii="Tahoma" w:hAnsi="Tahoma" w:cs="Tahoma"/>
          <w:b/>
        </w:rPr>
      </w:pPr>
      <w:r w:rsidRPr="005D3BB7">
        <w:rPr>
          <w:rFonts w:ascii="Tahoma" w:hAnsi="Tahoma" w:cs="Tahoma"/>
          <w:b/>
        </w:rPr>
        <w:t xml:space="preserve">Producent </w:t>
      </w:r>
      <w:r w:rsidR="005D3BB7" w:rsidRPr="005D3BB7">
        <w:rPr>
          <w:rFonts w:ascii="Tahoma" w:hAnsi="Tahoma" w:cs="Tahoma"/>
          <w:b/>
        </w:rPr>
        <w:t>macierzy dyskowej</w:t>
      </w:r>
      <w:r w:rsidR="005D143E">
        <w:rPr>
          <w:rFonts w:ascii="Tahoma" w:hAnsi="Tahoma" w:cs="Tahoma"/>
          <w:b/>
        </w:rPr>
        <w:t>:</w:t>
      </w:r>
    </w:p>
    <w:p w14:paraId="21D96191" w14:textId="5CFDE4FB" w:rsidR="00D6009D" w:rsidRPr="005D3BB7" w:rsidRDefault="00D6009D">
      <w:pPr>
        <w:rPr>
          <w:rFonts w:ascii="Tahoma" w:hAnsi="Tahoma" w:cs="Tahoma"/>
          <w:b/>
        </w:rPr>
      </w:pPr>
      <w:r w:rsidRPr="005D3BB7">
        <w:rPr>
          <w:rFonts w:ascii="Tahoma" w:hAnsi="Tahoma" w:cs="Tahoma"/>
          <w:b/>
        </w:rPr>
        <w:t>Model</w:t>
      </w:r>
      <w:r w:rsidR="005D143E">
        <w:rPr>
          <w:rFonts w:ascii="Tahoma" w:hAnsi="Tahoma" w:cs="Tahoma"/>
          <w:b/>
        </w:rPr>
        <w:t>:</w:t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8647"/>
        <w:gridCol w:w="4820"/>
      </w:tblGrid>
      <w:tr w:rsidR="00D6009D" w:rsidRPr="00460D1A" w14:paraId="4276A716" w14:textId="77777777" w:rsidTr="005D3BB7">
        <w:trPr>
          <w:trHeight w:val="764"/>
        </w:trPr>
        <w:tc>
          <w:tcPr>
            <w:tcW w:w="562" w:type="dxa"/>
            <w:vAlign w:val="center"/>
          </w:tcPr>
          <w:p w14:paraId="2B80BBB6" w14:textId="77777777" w:rsidR="00D6009D" w:rsidRPr="00460D1A" w:rsidRDefault="00D6009D" w:rsidP="005D3BB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60D1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647" w:type="dxa"/>
            <w:vAlign w:val="center"/>
          </w:tcPr>
          <w:p w14:paraId="04AE0C43" w14:textId="4E3FA4BC" w:rsidR="00D6009D" w:rsidRPr="00460D1A" w:rsidRDefault="00D6009D" w:rsidP="005D3BB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60D1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Opis wymogu technicznego</w:t>
            </w:r>
          </w:p>
        </w:tc>
        <w:tc>
          <w:tcPr>
            <w:tcW w:w="4820" w:type="dxa"/>
            <w:vAlign w:val="center"/>
          </w:tcPr>
          <w:p w14:paraId="736D482C" w14:textId="460F265D" w:rsidR="00D6009D" w:rsidRPr="00460D1A" w:rsidRDefault="00D6009D" w:rsidP="005D3BB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60D1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Oświadczenie o spełnieniu lub niespełnieniu wymogu*</w:t>
            </w:r>
          </w:p>
        </w:tc>
      </w:tr>
      <w:tr w:rsidR="00460D1A" w:rsidRPr="00460D1A" w14:paraId="1C20B146" w14:textId="77777777" w:rsidTr="00941437">
        <w:trPr>
          <w:trHeight w:val="340"/>
        </w:trPr>
        <w:tc>
          <w:tcPr>
            <w:tcW w:w="562" w:type="dxa"/>
            <w:vAlign w:val="center"/>
          </w:tcPr>
          <w:p w14:paraId="5CF4CE6F" w14:textId="77777777" w:rsidR="00460D1A" w:rsidRPr="00460D1A" w:rsidRDefault="00460D1A" w:rsidP="00460D1A">
            <w:pPr>
              <w:numPr>
                <w:ilvl w:val="0"/>
                <w:numId w:val="2"/>
              </w:numPr>
              <w:ind w:left="313" w:hanging="21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14:paraId="36A05131" w14:textId="69D06F95" w:rsidR="00460D1A" w:rsidRPr="00460D1A" w:rsidRDefault="00460D1A" w:rsidP="00460D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System musi być złożony z minimum czterech identycznych kontrolerów tworzących klaster geograficzny. Każdy kontroler musi posiadać identyczną konfigurację, tzn. parametry i liczbę CPU, parametry i pojemność głównej pamięci cache, parametry i liczbę portów we/wy.</w:t>
            </w:r>
          </w:p>
        </w:tc>
        <w:tc>
          <w:tcPr>
            <w:tcW w:w="4820" w:type="dxa"/>
          </w:tcPr>
          <w:p w14:paraId="3F57889C" w14:textId="77777777" w:rsidR="00460D1A" w:rsidRPr="00460D1A" w:rsidRDefault="00460D1A" w:rsidP="00460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Spełnia/nie spełnia</w:t>
            </w:r>
          </w:p>
        </w:tc>
      </w:tr>
      <w:tr w:rsidR="00460D1A" w:rsidRPr="00460D1A" w14:paraId="2C016C57" w14:textId="77777777" w:rsidTr="00941437">
        <w:trPr>
          <w:trHeight w:val="340"/>
        </w:trPr>
        <w:tc>
          <w:tcPr>
            <w:tcW w:w="562" w:type="dxa"/>
            <w:vAlign w:val="center"/>
          </w:tcPr>
          <w:p w14:paraId="2D3D93C9" w14:textId="77777777" w:rsidR="00460D1A" w:rsidRPr="00460D1A" w:rsidRDefault="00460D1A" w:rsidP="00460D1A">
            <w:pPr>
              <w:numPr>
                <w:ilvl w:val="0"/>
                <w:numId w:val="2"/>
              </w:numPr>
              <w:ind w:left="313" w:hanging="21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14:paraId="7BF8C572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System musi być dostarczony ze wszystkimi komponentami do instalacji w szafie rack 19''.</w:t>
            </w:r>
          </w:p>
          <w:p w14:paraId="663BD56C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Wysokość pojedynczej obudowy pary kontrolerów pracujących w trybie HA nie może przekraczać 4U.</w:t>
            </w:r>
          </w:p>
          <w:p w14:paraId="206F499A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Wysokość pojedynczej półki dyskowej nie może przekraczać 2U.</w:t>
            </w:r>
          </w:p>
          <w:p w14:paraId="2E5B5931" w14:textId="60E55AA2" w:rsidR="00460D1A" w:rsidRPr="00460D1A" w:rsidRDefault="00460D1A" w:rsidP="00460D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System musi zostać zbudowany z macierzy dyskowej mieszczącej się w pojedynczej szafie rack. Wymagane jest dostarczenie dedykowanej przez producenta macierzy szafy rack.</w:t>
            </w:r>
          </w:p>
        </w:tc>
        <w:tc>
          <w:tcPr>
            <w:tcW w:w="4820" w:type="dxa"/>
          </w:tcPr>
          <w:p w14:paraId="0179781C" w14:textId="77777777" w:rsidR="00460D1A" w:rsidRPr="00460D1A" w:rsidRDefault="00460D1A" w:rsidP="00460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Spełnia/nie spełnia</w:t>
            </w:r>
          </w:p>
        </w:tc>
      </w:tr>
      <w:tr w:rsidR="00460D1A" w:rsidRPr="00460D1A" w14:paraId="62EE6543" w14:textId="77777777" w:rsidTr="00941437">
        <w:trPr>
          <w:trHeight w:val="340"/>
        </w:trPr>
        <w:tc>
          <w:tcPr>
            <w:tcW w:w="562" w:type="dxa"/>
            <w:vAlign w:val="center"/>
          </w:tcPr>
          <w:p w14:paraId="4DA618DA" w14:textId="77777777" w:rsidR="00460D1A" w:rsidRPr="00460D1A" w:rsidRDefault="00460D1A" w:rsidP="00460D1A">
            <w:pPr>
              <w:numPr>
                <w:ilvl w:val="0"/>
                <w:numId w:val="2"/>
              </w:numPr>
              <w:ind w:left="313" w:hanging="21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  <w:shd w:val="clear" w:color="auto" w:fill="auto"/>
          </w:tcPr>
          <w:p w14:paraId="0AE91F72" w14:textId="77777777" w:rsidR="00460D1A" w:rsidRPr="00460D1A" w:rsidRDefault="00460D1A" w:rsidP="00460D1A">
            <w:pPr>
              <w:pStyle w:val="NormalnyWeb"/>
              <w:ind w:left="14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System wyposażony w dyski o łącznej pojemności minimum 500 TB RAW.</w:t>
            </w:r>
          </w:p>
          <w:p w14:paraId="2C6817A8" w14:textId="77777777" w:rsidR="00460D1A" w:rsidRPr="00460D1A" w:rsidRDefault="00460D1A" w:rsidP="00460D1A">
            <w:pPr>
              <w:ind w:left="14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System musi posiadać możliwość rozbudowy o kolejne dyski i wspierać dedykowane dyski typu:</w:t>
            </w:r>
          </w:p>
          <w:p w14:paraId="30604732" w14:textId="77777777" w:rsidR="00460D1A" w:rsidRPr="00460D1A" w:rsidRDefault="00460D1A" w:rsidP="00460D1A">
            <w:pPr>
              <w:pStyle w:val="NormalnyWeb"/>
              <w:numPr>
                <w:ilvl w:val="0"/>
                <w:numId w:val="7"/>
              </w:numPr>
              <w:ind w:left="297" w:right="130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SAS 10k w zakresie pojemności od 1.2 TB do 1.8 TB</w:t>
            </w:r>
          </w:p>
          <w:p w14:paraId="789827B8" w14:textId="77777777" w:rsidR="00460D1A" w:rsidRPr="00460D1A" w:rsidRDefault="00460D1A" w:rsidP="00460D1A">
            <w:pPr>
              <w:pStyle w:val="NormalnyWeb"/>
              <w:numPr>
                <w:ilvl w:val="0"/>
                <w:numId w:val="7"/>
              </w:numPr>
              <w:ind w:left="297" w:right="130" w:hanging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SSD w zakresie pojemności od 960 GB do 30.6 TB.</w:t>
            </w:r>
          </w:p>
          <w:p w14:paraId="0038C6E4" w14:textId="77777777" w:rsidR="00460D1A" w:rsidRPr="00460D1A" w:rsidRDefault="00460D1A" w:rsidP="00460D1A">
            <w:pPr>
              <w:pStyle w:val="NormalnyWeb"/>
              <w:ind w:left="14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Budowa systemu musi umożliwiać rozbudowę do modeli wyższych bez potrzeby kopiowania lub migracji danych.</w:t>
            </w:r>
          </w:p>
          <w:p w14:paraId="1D32D4D9" w14:textId="77777777" w:rsidR="00460D1A" w:rsidRPr="00460D1A" w:rsidRDefault="00460D1A" w:rsidP="00460D1A">
            <w:pPr>
              <w:pStyle w:val="NormalnyWeb"/>
              <w:ind w:left="14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Zamawiający przez model wyższy rozumie inny model macierzy danego producenta z większą pamięcią cache oraz wydajniejszymi procesorami.</w:t>
            </w:r>
          </w:p>
          <w:p w14:paraId="781440F7" w14:textId="421C4F44" w:rsidR="00460D1A" w:rsidRPr="00460D1A" w:rsidRDefault="00460D1A" w:rsidP="00460D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System musi mieć możliwość rozbudowy do 720 dysków SAS dla pary kontrolerów.</w:t>
            </w:r>
          </w:p>
        </w:tc>
        <w:tc>
          <w:tcPr>
            <w:tcW w:w="4820" w:type="dxa"/>
          </w:tcPr>
          <w:p w14:paraId="3C0D3D1D" w14:textId="77777777" w:rsidR="00460D1A" w:rsidRPr="00460D1A" w:rsidRDefault="00460D1A" w:rsidP="00460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Spełnia/nie spełnia</w:t>
            </w:r>
          </w:p>
        </w:tc>
      </w:tr>
      <w:tr w:rsidR="00460D1A" w:rsidRPr="00460D1A" w14:paraId="52A274A6" w14:textId="77777777" w:rsidTr="00941437">
        <w:trPr>
          <w:trHeight w:val="340"/>
        </w:trPr>
        <w:tc>
          <w:tcPr>
            <w:tcW w:w="562" w:type="dxa"/>
            <w:vAlign w:val="center"/>
          </w:tcPr>
          <w:p w14:paraId="6EAFB279" w14:textId="77777777" w:rsidR="00460D1A" w:rsidRPr="00460D1A" w:rsidRDefault="00460D1A" w:rsidP="00460D1A">
            <w:pPr>
              <w:numPr>
                <w:ilvl w:val="0"/>
                <w:numId w:val="2"/>
              </w:numPr>
              <w:ind w:left="313" w:hanging="21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14:paraId="1E35C769" w14:textId="77777777" w:rsidR="00460D1A" w:rsidRPr="00460D1A" w:rsidRDefault="00460D1A" w:rsidP="00460D1A">
            <w:pPr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Oferowane urządzenie musi posiadać minimum dwa kontrolery Active-Active z funkcją Mirrored cache.</w:t>
            </w:r>
          </w:p>
          <w:p w14:paraId="102FCF74" w14:textId="77777777" w:rsidR="00460D1A" w:rsidRPr="00460D1A" w:rsidRDefault="00460D1A" w:rsidP="00460D1A">
            <w:pPr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536537C" w14:textId="77777777" w:rsidR="00460D1A" w:rsidRPr="00460D1A" w:rsidRDefault="00460D1A" w:rsidP="00460D1A">
            <w:pPr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Każdy kontroler musi mieć lokalnego partnera typu failover w tym samym klastrze oraz zdalnego partnera w klastrze oddalonym geograficznie. Zawartość pamięci write cache każdego węzła musi być mirrorowana do lokalnego partnera w tym samym klastrze oraz zdalnego partnera w drugiej lokalizacji geograficznej.</w:t>
            </w:r>
          </w:p>
          <w:p w14:paraId="602D7451" w14:textId="77777777" w:rsidR="00460D1A" w:rsidRPr="00460D1A" w:rsidRDefault="00460D1A" w:rsidP="00460D1A">
            <w:pPr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Dane blokowe muszą być replikowane pomiędzy parami węzłów w trybie synchronicznym. Zapis danego bloku danych o rozmiarze min 4KB musi odbywać się w obu lokalizacjach jednocześnie.</w:t>
            </w:r>
          </w:p>
          <w:p w14:paraId="4AD43113" w14:textId="77777777" w:rsidR="00460D1A" w:rsidRPr="00460D1A" w:rsidRDefault="00460D1A" w:rsidP="00460D1A">
            <w:pPr>
              <w:pStyle w:val="NormalnyWeb"/>
              <w:ind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Oferowane rozwiązanie musi zapewniać tryb RPO = 0 dla danych (ang. Recovery Point Objective).</w:t>
            </w:r>
          </w:p>
          <w:p w14:paraId="496B8416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Każdy z kontrolerów, w które zostanie wyposażona macierz, musi posiadać następujące minimalne parametry techniczne:</w:t>
            </w:r>
          </w:p>
          <w:p w14:paraId="3CB72632" w14:textId="77777777" w:rsidR="00460D1A" w:rsidRPr="00460D1A" w:rsidRDefault="00460D1A" w:rsidP="00460D1A">
            <w:pPr>
              <w:pStyle w:val="Akapitzlist"/>
              <w:numPr>
                <w:ilvl w:val="0"/>
                <w:numId w:val="8"/>
              </w:numPr>
              <w:spacing w:line="240" w:lineRule="auto"/>
              <w:ind w:left="212" w:right="130" w:hanging="22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128 GB natywnej pamięci cache onboard (nie dopuszcza się realizacji tego obszaru w oparciu o dyski SDD, karty flash itp.),</w:t>
            </w:r>
          </w:p>
          <w:p w14:paraId="59411CB6" w14:textId="77777777" w:rsidR="00460D1A" w:rsidRPr="00460D1A" w:rsidRDefault="00460D1A" w:rsidP="00460D1A">
            <w:pPr>
              <w:pStyle w:val="Akapitzlist"/>
              <w:numPr>
                <w:ilvl w:val="0"/>
                <w:numId w:val="8"/>
              </w:numPr>
              <w:spacing w:line="240" w:lineRule="auto"/>
              <w:ind w:left="212" w:right="130" w:hanging="22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Wewnętrzna pamięć NVRAM 16 GB,</w:t>
            </w:r>
          </w:p>
          <w:p w14:paraId="31F75613" w14:textId="77777777" w:rsidR="00460D1A" w:rsidRPr="00460D1A" w:rsidRDefault="00460D1A" w:rsidP="00460D1A">
            <w:pPr>
              <w:pStyle w:val="Akapitzlist"/>
              <w:numPr>
                <w:ilvl w:val="0"/>
                <w:numId w:val="8"/>
              </w:numPr>
              <w:spacing w:line="240" w:lineRule="auto"/>
              <w:ind w:left="212" w:right="130" w:hanging="22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2TB dodatkowej pamięci cache w oparciu o NVMe flash do realizacji tieringu danych,</w:t>
            </w:r>
          </w:p>
          <w:p w14:paraId="655EC4D0" w14:textId="78ADD637" w:rsidR="00460D1A" w:rsidRPr="00460D1A" w:rsidRDefault="00460D1A" w:rsidP="00460D1A">
            <w:pPr>
              <w:pStyle w:val="Akapitzlist"/>
              <w:numPr>
                <w:ilvl w:val="0"/>
                <w:numId w:val="8"/>
              </w:numPr>
              <w:spacing w:line="240" w:lineRule="auto"/>
              <w:ind w:left="212" w:right="130" w:hanging="22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Liczba rdzeni per procesor CPU: 20.</w:t>
            </w:r>
          </w:p>
        </w:tc>
        <w:tc>
          <w:tcPr>
            <w:tcW w:w="4820" w:type="dxa"/>
          </w:tcPr>
          <w:p w14:paraId="7FB15F50" w14:textId="77777777" w:rsidR="00460D1A" w:rsidRPr="00460D1A" w:rsidRDefault="00460D1A" w:rsidP="00460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Spełnia/nie spełnia</w:t>
            </w:r>
          </w:p>
        </w:tc>
      </w:tr>
      <w:tr w:rsidR="00460D1A" w:rsidRPr="00460D1A" w14:paraId="7FB7FC17" w14:textId="77777777" w:rsidTr="00941437">
        <w:trPr>
          <w:trHeight w:val="340"/>
        </w:trPr>
        <w:tc>
          <w:tcPr>
            <w:tcW w:w="562" w:type="dxa"/>
            <w:vAlign w:val="center"/>
          </w:tcPr>
          <w:p w14:paraId="3D61F66C" w14:textId="77777777" w:rsidR="00460D1A" w:rsidRPr="00460D1A" w:rsidRDefault="00460D1A" w:rsidP="00460D1A">
            <w:pPr>
              <w:numPr>
                <w:ilvl w:val="0"/>
                <w:numId w:val="2"/>
              </w:numPr>
              <w:ind w:left="313" w:hanging="21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14:paraId="72375935" w14:textId="57866AC2" w:rsidR="00460D1A" w:rsidRPr="00460D1A" w:rsidRDefault="00460D1A" w:rsidP="00460D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Każdy kontroler musi pracować pod kontrolą jednego systemu operacyjnego stworzonego przez producenta urządzenia. Nie dopuszcza się zastosowania węzłów w postaci wirtualizatorów danych. Nie dopuszcza się zastosowania zewnętrznego oprogramowania do realizacji geograficznej kopii danych.</w:t>
            </w:r>
          </w:p>
        </w:tc>
        <w:tc>
          <w:tcPr>
            <w:tcW w:w="4820" w:type="dxa"/>
          </w:tcPr>
          <w:p w14:paraId="50664D80" w14:textId="77777777" w:rsidR="00460D1A" w:rsidRPr="00460D1A" w:rsidRDefault="00460D1A" w:rsidP="00460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Spełnia/nie spełnia</w:t>
            </w:r>
          </w:p>
        </w:tc>
      </w:tr>
      <w:tr w:rsidR="00460D1A" w:rsidRPr="00460D1A" w14:paraId="1C7C83E6" w14:textId="77777777" w:rsidTr="00941437">
        <w:trPr>
          <w:trHeight w:val="340"/>
        </w:trPr>
        <w:tc>
          <w:tcPr>
            <w:tcW w:w="562" w:type="dxa"/>
            <w:vAlign w:val="center"/>
          </w:tcPr>
          <w:p w14:paraId="504F0154" w14:textId="77777777" w:rsidR="00460D1A" w:rsidRPr="00460D1A" w:rsidRDefault="00460D1A" w:rsidP="00460D1A">
            <w:pPr>
              <w:numPr>
                <w:ilvl w:val="0"/>
                <w:numId w:val="2"/>
              </w:numPr>
              <w:ind w:left="313" w:hanging="21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14:paraId="3E887B31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 xml:space="preserve">Każda para kontrolerów musi pracować w innej lokalizacji geograficznej i udostępniać dane lokalne z użyciem protokołu FC. W każdej lokalizacji muszą znajdować się minimum dwa redundantne kontrolery. Komunikacja z drugą parą kontrolerów, utworzenie połączeń typu ISL (inter switch links) pomiędzy lokalizacjami musi być możliwe za pomocą dark fibre/xWDM lub modułów SFP+ w dedykowanych przełącznikach FC. </w:t>
            </w:r>
          </w:p>
          <w:p w14:paraId="14EAD807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1F2E0D7" w14:textId="106E3420" w:rsidR="00460D1A" w:rsidRPr="00460D1A" w:rsidRDefault="00460D1A" w:rsidP="00460D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Odległość pomiędzy lokalizacjami: 30km.</w:t>
            </w:r>
          </w:p>
        </w:tc>
        <w:tc>
          <w:tcPr>
            <w:tcW w:w="4820" w:type="dxa"/>
          </w:tcPr>
          <w:p w14:paraId="5DA84C1B" w14:textId="77777777" w:rsidR="00460D1A" w:rsidRPr="00460D1A" w:rsidRDefault="00460D1A" w:rsidP="00460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Spełnia/nie spełnia</w:t>
            </w:r>
          </w:p>
        </w:tc>
      </w:tr>
      <w:tr w:rsidR="00460D1A" w:rsidRPr="00460D1A" w14:paraId="4D471C48" w14:textId="77777777" w:rsidTr="00941437">
        <w:trPr>
          <w:trHeight w:val="340"/>
        </w:trPr>
        <w:tc>
          <w:tcPr>
            <w:tcW w:w="562" w:type="dxa"/>
            <w:vAlign w:val="center"/>
          </w:tcPr>
          <w:p w14:paraId="6FDCE219" w14:textId="77777777" w:rsidR="00460D1A" w:rsidRPr="00460D1A" w:rsidRDefault="00460D1A" w:rsidP="00460D1A">
            <w:pPr>
              <w:numPr>
                <w:ilvl w:val="0"/>
                <w:numId w:val="2"/>
              </w:numPr>
              <w:ind w:left="313" w:hanging="21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14:paraId="1A27B77D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Para kontrolerów w każdej lokalizacji musi oferować funkcjonalność automatycznego przejmowania funkcjonalności i zadań w przypadku awarii drugiego kontrolera w tej samej parze.</w:t>
            </w:r>
          </w:p>
          <w:p w14:paraId="00B6F13C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7DAC73B" w14:textId="05512E77" w:rsidR="00460D1A" w:rsidRPr="00460D1A" w:rsidRDefault="00460D1A" w:rsidP="00460D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Macierz musi cechować brak pojedynczego punktu awarii.</w:t>
            </w:r>
          </w:p>
        </w:tc>
        <w:tc>
          <w:tcPr>
            <w:tcW w:w="4820" w:type="dxa"/>
          </w:tcPr>
          <w:p w14:paraId="6F19D682" w14:textId="77777777" w:rsidR="00460D1A" w:rsidRPr="00460D1A" w:rsidRDefault="00460D1A" w:rsidP="00460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Spełnia/nie spełnia</w:t>
            </w:r>
          </w:p>
        </w:tc>
      </w:tr>
      <w:tr w:rsidR="00460D1A" w:rsidRPr="00460D1A" w14:paraId="0886D15F" w14:textId="77777777" w:rsidTr="00941437">
        <w:trPr>
          <w:trHeight w:val="340"/>
        </w:trPr>
        <w:tc>
          <w:tcPr>
            <w:tcW w:w="562" w:type="dxa"/>
            <w:vAlign w:val="center"/>
          </w:tcPr>
          <w:p w14:paraId="3C14D517" w14:textId="77777777" w:rsidR="00460D1A" w:rsidRPr="00460D1A" w:rsidRDefault="00460D1A" w:rsidP="00460D1A">
            <w:pPr>
              <w:numPr>
                <w:ilvl w:val="0"/>
                <w:numId w:val="2"/>
              </w:numPr>
              <w:ind w:left="313" w:hanging="21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14:paraId="6DC8E466" w14:textId="77777777" w:rsidR="00460D1A" w:rsidRPr="00460D1A" w:rsidRDefault="00460D1A" w:rsidP="00460D1A">
            <w:pPr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Każdy z kontrolerów musi posiadać minimum:</w:t>
            </w:r>
          </w:p>
          <w:p w14:paraId="4EEF1658" w14:textId="77777777" w:rsidR="00460D1A" w:rsidRPr="00460D1A" w:rsidRDefault="00460D1A" w:rsidP="00460D1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1 port Ethernet do zarządzania urządzeniem,</w:t>
            </w:r>
          </w:p>
          <w:p w14:paraId="45391299" w14:textId="77777777" w:rsidR="00460D1A" w:rsidRPr="00460D1A" w:rsidRDefault="00460D1A" w:rsidP="00460D1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2 porty 10/25GbE SFP28,</w:t>
            </w:r>
          </w:p>
          <w:p w14:paraId="398B4F40" w14:textId="77777777" w:rsidR="00460D1A" w:rsidRPr="00460D1A" w:rsidRDefault="00460D1A" w:rsidP="00460D1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2 porty 40/100GbE QSFP28,</w:t>
            </w:r>
          </w:p>
          <w:p w14:paraId="306C11A8" w14:textId="77777777" w:rsidR="00460D1A" w:rsidRPr="00460D1A" w:rsidRDefault="00460D1A" w:rsidP="00460D1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right="131"/>
              <w:jc w:val="both"/>
              <w:rPr>
                <w:sz w:val="20"/>
                <w:szCs w:val="20"/>
                <w:lang w:val="en-US"/>
              </w:rPr>
            </w:pPr>
            <w:r w:rsidRPr="00460D1A">
              <w:rPr>
                <w:sz w:val="20"/>
                <w:szCs w:val="20"/>
                <w:lang w:val="en-US"/>
              </w:rPr>
              <w:t>4 porty MiniSAS HD 12Gb,</w:t>
            </w:r>
          </w:p>
          <w:p w14:paraId="3CEE37D8" w14:textId="77777777" w:rsidR="00460D1A" w:rsidRPr="00460D1A" w:rsidRDefault="00460D1A" w:rsidP="00460D1A">
            <w:pPr>
              <w:pStyle w:val="Akapitzlist"/>
              <w:numPr>
                <w:ilvl w:val="0"/>
                <w:numId w:val="4"/>
              </w:numPr>
              <w:spacing w:before="40" w:after="4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4 porty 32Gb FC.</w:t>
            </w:r>
          </w:p>
          <w:p w14:paraId="19E11CD5" w14:textId="77777777" w:rsidR="00460D1A" w:rsidRPr="00460D1A" w:rsidRDefault="00460D1A" w:rsidP="00460D1A">
            <w:pPr>
              <w:spacing w:before="40" w:after="4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1BD62B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Macierz musi umożliwiać zarządzanie za pomocą interfejsu Ethernet.</w:t>
            </w:r>
          </w:p>
          <w:p w14:paraId="02F411B5" w14:textId="77777777" w:rsidR="00460D1A" w:rsidRPr="00460D1A" w:rsidRDefault="00460D1A" w:rsidP="00460D1A">
            <w:pPr>
              <w:spacing w:before="40" w:after="40"/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63FB285" w14:textId="6857F763" w:rsidR="00460D1A" w:rsidRPr="00460D1A" w:rsidRDefault="00460D1A" w:rsidP="00460D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Wszelkie połączenia FC pomiędzy elementami składowymi macierzy muszą być redundantne.</w:t>
            </w:r>
          </w:p>
        </w:tc>
        <w:tc>
          <w:tcPr>
            <w:tcW w:w="4820" w:type="dxa"/>
          </w:tcPr>
          <w:p w14:paraId="54B03FA7" w14:textId="77777777" w:rsidR="00460D1A" w:rsidRPr="00460D1A" w:rsidRDefault="00460D1A" w:rsidP="00460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Spełnia/nie spełnia</w:t>
            </w:r>
          </w:p>
        </w:tc>
      </w:tr>
      <w:tr w:rsidR="00460D1A" w:rsidRPr="00460D1A" w14:paraId="7A7EDD17" w14:textId="77777777" w:rsidTr="00941437">
        <w:trPr>
          <w:trHeight w:val="340"/>
        </w:trPr>
        <w:tc>
          <w:tcPr>
            <w:tcW w:w="562" w:type="dxa"/>
            <w:vAlign w:val="center"/>
          </w:tcPr>
          <w:p w14:paraId="371AEBF9" w14:textId="77777777" w:rsidR="00460D1A" w:rsidRPr="00460D1A" w:rsidRDefault="00460D1A" w:rsidP="00460D1A">
            <w:pPr>
              <w:numPr>
                <w:ilvl w:val="0"/>
                <w:numId w:val="2"/>
              </w:numPr>
              <w:ind w:left="313" w:hanging="21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14:paraId="1EDB8DB8" w14:textId="39A8921A" w:rsidR="00460D1A" w:rsidRPr="00460D1A" w:rsidRDefault="00460D1A" w:rsidP="00460D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System RAID musi zapewniać taki poziom zabezpieczania danych, aby był możliwy do nich dostęp w sytuacji awarii minimum dwóch dysków w grupie RAID.</w:t>
            </w:r>
          </w:p>
        </w:tc>
        <w:tc>
          <w:tcPr>
            <w:tcW w:w="4820" w:type="dxa"/>
          </w:tcPr>
          <w:p w14:paraId="67D892A6" w14:textId="77777777" w:rsidR="00460D1A" w:rsidRPr="00460D1A" w:rsidRDefault="00460D1A" w:rsidP="00460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Spełnia/nie spełnia</w:t>
            </w:r>
          </w:p>
        </w:tc>
      </w:tr>
      <w:tr w:rsidR="00460D1A" w:rsidRPr="00460D1A" w14:paraId="3F5EC38B" w14:textId="77777777" w:rsidTr="00941437">
        <w:trPr>
          <w:trHeight w:val="340"/>
        </w:trPr>
        <w:tc>
          <w:tcPr>
            <w:tcW w:w="562" w:type="dxa"/>
            <w:vAlign w:val="center"/>
          </w:tcPr>
          <w:p w14:paraId="6FF4C60C" w14:textId="77777777" w:rsidR="00460D1A" w:rsidRPr="00460D1A" w:rsidRDefault="00460D1A" w:rsidP="00460D1A">
            <w:pPr>
              <w:numPr>
                <w:ilvl w:val="0"/>
                <w:numId w:val="2"/>
              </w:numPr>
              <w:ind w:left="313" w:hanging="21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14:paraId="1C5E9C98" w14:textId="1571F2C3" w:rsidR="00460D1A" w:rsidRPr="00460D1A" w:rsidRDefault="00460D1A" w:rsidP="00460D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Macierz musi być wyposażona w system kopii migawkowych, dostępny dla wszystkich rodzajów danych przechowywanych na macierzy. System kopii migawkowych nie może powodować spadku wydajności macierzy +/- 5 %.</w:t>
            </w:r>
          </w:p>
        </w:tc>
        <w:tc>
          <w:tcPr>
            <w:tcW w:w="4820" w:type="dxa"/>
          </w:tcPr>
          <w:p w14:paraId="74AA2BC9" w14:textId="77777777" w:rsidR="00460D1A" w:rsidRPr="00460D1A" w:rsidRDefault="00460D1A" w:rsidP="00460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Spełnia/nie spełnia</w:t>
            </w:r>
          </w:p>
        </w:tc>
      </w:tr>
      <w:tr w:rsidR="00460D1A" w:rsidRPr="00460D1A" w14:paraId="140AE5D7" w14:textId="77777777" w:rsidTr="00941437">
        <w:trPr>
          <w:trHeight w:val="340"/>
        </w:trPr>
        <w:tc>
          <w:tcPr>
            <w:tcW w:w="562" w:type="dxa"/>
            <w:vAlign w:val="center"/>
          </w:tcPr>
          <w:p w14:paraId="31807959" w14:textId="77777777" w:rsidR="00460D1A" w:rsidRPr="00460D1A" w:rsidRDefault="00460D1A" w:rsidP="00460D1A">
            <w:pPr>
              <w:numPr>
                <w:ilvl w:val="0"/>
                <w:numId w:val="2"/>
              </w:numPr>
              <w:ind w:left="313" w:hanging="21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  <w:shd w:val="clear" w:color="auto" w:fill="auto"/>
          </w:tcPr>
          <w:p w14:paraId="3693B210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Macierz musi obsługiwać jednocześnie protokoły FC, FCoE, NVMeoF (FC/TCP), iSCSi, CIFS i NFS.</w:t>
            </w:r>
          </w:p>
          <w:p w14:paraId="28BC1A9C" w14:textId="5B22EE98" w:rsidR="00460D1A" w:rsidRPr="00460D1A" w:rsidRDefault="00460D1A" w:rsidP="00460D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Jeśli wymagane są licencje Zamawiający wymaga dostarczenia ich wraz z macierzą.</w:t>
            </w:r>
          </w:p>
        </w:tc>
        <w:tc>
          <w:tcPr>
            <w:tcW w:w="4820" w:type="dxa"/>
          </w:tcPr>
          <w:p w14:paraId="53558CE4" w14:textId="77777777" w:rsidR="00460D1A" w:rsidRPr="00460D1A" w:rsidRDefault="00460D1A" w:rsidP="00460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Spełnia/nie spełnia</w:t>
            </w:r>
          </w:p>
        </w:tc>
      </w:tr>
      <w:tr w:rsidR="00460D1A" w:rsidRPr="00460D1A" w14:paraId="19D49F3B" w14:textId="77777777" w:rsidTr="00941437">
        <w:trPr>
          <w:trHeight w:val="340"/>
        </w:trPr>
        <w:tc>
          <w:tcPr>
            <w:tcW w:w="562" w:type="dxa"/>
            <w:vAlign w:val="center"/>
          </w:tcPr>
          <w:p w14:paraId="012028E0" w14:textId="77777777" w:rsidR="00460D1A" w:rsidRPr="00460D1A" w:rsidRDefault="00460D1A" w:rsidP="00460D1A">
            <w:pPr>
              <w:numPr>
                <w:ilvl w:val="0"/>
                <w:numId w:val="2"/>
              </w:numPr>
              <w:ind w:left="313" w:hanging="21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14:paraId="2F7E98C8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 xml:space="preserve">System musi mieć możliwość połączenia w klaster z posiadaną przez Zamawiającego macierzą NetApp FAS8200 w celu migracji wolumenów bez przerwania dostępu do danych. </w:t>
            </w:r>
          </w:p>
          <w:p w14:paraId="26B7F13F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9AEC763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Macierz musi posiadać funkcjonalność eliminacji (deduplikacji) identycznych bloków danych in-line. Macierz musi oferować funkcjonalność kompresji typu inline (dane w znajdujące się w pamięci cache przed zapisaniem na dyski) oraz postprocess (dane umiejscowione na dyskach) dla wszystkich rodzajów udostępnianych danych.</w:t>
            </w:r>
          </w:p>
          <w:p w14:paraId="4124286F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33013C0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Jeżeli oferowane rozwiązanie nie pozwala na deduplikację i kompresję w locie lub nie posiada możliwości deduplikacji i kompresji zamawiający wymaga dostarczenie czterokrotnej pojemności wyspecyfikowanej w punkcie 3 niniejszej tabeli.</w:t>
            </w:r>
          </w:p>
          <w:p w14:paraId="06727609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026DD1B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Macierz musi posiadać wsparcie dla wielu ścieżek dla systemów Windows, Linux, VMware, Unix.</w:t>
            </w:r>
          </w:p>
          <w:p w14:paraId="1DFD4A99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92397BE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Macierz musi umożliwiać dynamiczną zmianę rozmiaru wolumenów logicznych bez przerywania pracy macierzy i bez przerywania dostępu do danych znajdujących się na danym wolumenie.</w:t>
            </w:r>
          </w:p>
          <w:p w14:paraId="0581046E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193B079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Macierz musi posiadać funkcjonalność priorytetyzacji zadań.</w:t>
            </w:r>
          </w:p>
          <w:p w14:paraId="59E5FADB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lastRenderedPageBreak/>
              <w:t xml:space="preserve"> </w:t>
            </w:r>
          </w:p>
          <w:p w14:paraId="66D588C9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Macierz musi pozwalać funkcjonalność replikacji danych z inną macierzą tego samego producenta w trybie synchronicznym oraz asynchronicznym. Funkcjonalność replikacji danych musi być natywnym narzędziem macierzy. Przed procesem replikacji macierz musi umożliwiać włączenie procesu deduplikacji danych w celu optymalizacji wykorzystania łącza dla replikowanych zasobów lub zamawiający wymaga dostarczenia zewnętrznego narzędzia do deduplikacji replikowanych danych.</w:t>
            </w:r>
          </w:p>
          <w:p w14:paraId="28ED7012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37F12F57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Macierz musi być dostarczona z sprzętem i/lub odpowiednią licencją, aby umożliwić szyfrowanie wybranego wolumenu, szyfrowanie może się odbywać poprzez zewnętrzne narzędzie szyfrujące lub może być realizowane mechanizmem macierzy.</w:t>
            </w:r>
          </w:p>
          <w:p w14:paraId="3AB1FD6A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953990F" w14:textId="77777777" w:rsidR="00460D1A" w:rsidRPr="00460D1A" w:rsidRDefault="00460D1A" w:rsidP="00460D1A">
            <w:pPr>
              <w:autoSpaceDE w:val="0"/>
              <w:autoSpaceDN w:val="0"/>
              <w:adjustRightInd w:val="0"/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Macierz musi posiadać możliwość automatycznego informowania przez macierz i przesyłania przez pocztę elektroniczną raportów o konfiguracji, utworzonych dyskach logicznych i woluminach oraz ich zajętości wraz z podziałem na rzeczywiste dane, kopie migawkowe oraz dane wewnętrzne macierzy.</w:t>
            </w:r>
          </w:p>
          <w:p w14:paraId="7723AE36" w14:textId="77777777" w:rsidR="00460D1A" w:rsidRPr="00460D1A" w:rsidRDefault="00460D1A" w:rsidP="00460D1A">
            <w:pPr>
              <w:autoSpaceDE w:val="0"/>
              <w:autoSpaceDN w:val="0"/>
              <w:adjustRightInd w:val="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2EDF3EAF" w14:textId="77777777" w:rsidR="00460D1A" w:rsidRPr="00460D1A" w:rsidRDefault="00460D1A" w:rsidP="00460D1A">
            <w:pPr>
              <w:autoSpaceDE w:val="0"/>
              <w:autoSpaceDN w:val="0"/>
              <w:adjustRightInd w:val="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Z macierzą Zamawiający wymaga dostarczenia oprogramowania, które pozwala na:</w:t>
            </w:r>
          </w:p>
          <w:p w14:paraId="45749D29" w14:textId="77777777" w:rsidR="00460D1A" w:rsidRPr="00460D1A" w:rsidRDefault="00460D1A" w:rsidP="00460D1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monitoring wykorzystania przestrzeni na macierzy,</w:t>
            </w:r>
          </w:p>
          <w:p w14:paraId="25BE02B7" w14:textId="77777777" w:rsidR="00460D1A" w:rsidRPr="00460D1A" w:rsidRDefault="00460D1A" w:rsidP="00460D1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monitoring grup RAID,</w:t>
            </w:r>
          </w:p>
          <w:p w14:paraId="057AF1A3" w14:textId="77777777" w:rsidR="00460D1A" w:rsidRPr="00460D1A" w:rsidRDefault="00460D1A" w:rsidP="00460D1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monitoring wykonywanych backupów/replikacji danych między macierzami,</w:t>
            </w:r>
          </w:p>
          <w:p w14:paraId="5894B4CF" w14:textId="77777777" w:rsidR="00460D1A" w:rsidRPr="00460D1A" w:rsidRDefault="00460D1A" w:rsidP="00460D1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monitoring wydajności macierzy,</w:t>
            </w:r>
          </w:p>
          <w:p w14:paraId="5BE944AF" w14:textId="77777777" w:rsidR="00460D1A" w:rsidRPr="00460D1A" w:rsidRDefault="00460D1A" w:rsidP="00460D1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analizę i diagnozę spadku wydajności.</w:t>
            </w:r>
          </w:p>
          <w:p w14:paraId="1EFCE576" w14:textId="77777777" w:rsidR="00460D1A" w:rsidRPr="00460D1A" w:rsidRDefault="00460D1A" w:rsidP="00460D1A">
            <w:pPr>
              <w:autoSpaceDE w:val="0"/>
              <w:autoSpaceDN w:val="0"/>
              <w:adjustRightInd w:val="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6FBAB51" w14:textId="77777777" w:rsidR="00460D1A" w:rsidRPr="00460D1A" w:rsidRDefault="00460D1A" w:rsidP="00460D1A">
            <w:pPr>
              <w:autoSpaceDE w:val="0"/>
              <w:autoSpaceDN w:val="0"/>
              <w:adjustRightInd w:val="0"/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Zamawiający dopuszcza zastosowanie oprogramowania zewnętrznego, na pełną maksymalną pojemność macierzy.</w:t>
            </w:r>
          </w:p>
          <w:p w14:paraId="5FE83F41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CF91FA" w14:textId="77777777" w:rsidR="00460D1A" w:rsidRPr="00460D1A" w:rsidRDefault="00460D1A" w:rsidP="00460D1A">
            <w:pPr>
              <w:tabs>
                <w:tab w:val="left" w:pos="960"/>
              </w:tabs>
              <w:autoSpaceDE w:val="0"/>
              <w:autoSpaceDN w:val="0"/>
              <w:adjustRightInd w:val="0"/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Wszystkie funkcjonalności muszą być dostarczone na maksymalną pojemność macierzy.</w:t>
            </w:r>
          </w:p>
          <w:p w14:paraId="15201D35" w14:textId="77777777" w:rsidR="00460D1A" w:rsidRPr="00460D1A" w:rsidRDefault="00460D1A" w:rsidP="00460D1A">
            <w:pPr>
              <w:tabs>
                <w:tab w:val="left" w:pos="960"/>
              </w:tabs>
              <w:autoSpaceDE w:val="0"/>
              <w:autoSpaceDN w:val="0"/>
              <w:adjustRightInd w:val="0"/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C0D37A0" w14:textId="77777777" w:rsidR="00460D1A" w:rsidRPr="00460D1A" w:rsidRDefault="00460D1A" w:rsidP="00460D1A">
            <w:pPr>
              <w:ind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Producent musi dostarczyć usługę w postaci portalu WWW lub dodatkowego oprogramowania umożliwiającą następujące funkcjonalności:</w:t>
            </w:r>
          </w:p>
          <w:p w14:paraId="721B9F88" w14:textId="77777777" w:rsidR="00460D1A" w:rsidRPr="00460D1A" w:rsidRDefault="00460D1A" w:rsidP="00460D1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 xml:space="preserve">Narzędzie do tworzenia procedury aktualizacji oprogramowania macierzowego. </w:t>
            </w:r>
          </w:p>
          <w:p w14:paraId="28C41D44" w14:textId="77777777" w:rsidR="00460D1A" w:rsidRPr="00460D1A" w:rsidRDefault="00460D1A" w:rsidP="00460D1A">
            <w:pPr>
              <w:pStyle w:val="Akapitzlist"/>
              <w:numPr>
                <w:ilvl w:val="1"/>
                <w:numId w:val="6"/>
              </w:numPr>
              <w:spacing w:before="40" w:after="4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procedura musi opierać się na aktualnych danych pochodzących z macierzy oraz najlepszych praktykach producenta.</w:t>
            </w:r>
          </w:p>
          <w:p w14:paraId="06A39319" w14:textId="77777777" w:rsidR="00460D1A" w:rsidRPr="00460D1A" w:rsidRDefault="00460D1A" w:rsidP="00460D1A">
            <w:pPr>
              <w:pStyle w:val="Akapitzlist"/>
              <w:numPr>
                <w:ilvl w:val="1"/>
                <w:numId w:val="6"/>
              </w:numPr>
              <w:spacing w:before="40" w:after="4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procedura musi uwzględniać systemy zależne np. macierze replikujące.</w:t>
            </w:r>
          </w:p>
          <w:p w14:paraId="4C4ECDF2" w14:textId="77777777" w:rsidR="00460D1A" w:rsidRPr="00460D1A" w:rsidRDefault="00460D1A" w:rsidP="00460D1A">
            <w:pPr>
              <w:pStyle w:val="Akapitzlist"/>
              <w:numPr>
                <w:ilvl w:val="1"/>
                <w:numId w:val="6"/>
              </w:numPr>
              <w:spacing w:before="40" w:after="4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procedura musi umożliwiać generowanie planu cofnięcia aktualizacji.</w:t>
            </w:r>
          </w:p>
          <w:p w14:paraId="063F88AC" w14:textId="77777777" w:rsidR="00460D1A" w:rsidRPr="00460D1A" w:rsidRDefault="00460D1A" w:rsidP="00460D1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lastRenderedPageBreak/>
              <w:t>Wyświetlanie statystyk dotyczących wydajności, utylizacji, oszczędności uzyskanych dzięki funkcjonalnościom macierzy.</w:t>
            </w:r>
          </w:p>
          <w:p w14:paraId="4E6AD419" w14:textId="77777777" w:rsidR="00460D1A" w:rsidRPr="00460D1A" w:rsidRDefault="00460D1A" w:rsidP="00460D1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Wyświetlanie konfiguracji macierzy oraz porównywanie jej z najlepszymi praktykami producenta w celu usunięcia błędów konfiguracji.</w:t>
            </w:r>
          </w:p>
          <w:p w14:paraId="7357A3F6" w14:textId="77777777" w:rsidR="00460D1A" w:rsidRPr="00460D1A" w:rsidRDefault="00460D1A" w:rsidP="00460D1A">
            <w:pPr>
              <w:pStyle w:val="Akapitzlist"/>
              <w:numPr>
                <w:ilvl w:val="0"/>
                <w:numId w:val="6"/>
              </w:numPr>
              <w:spacing w:before="40" w:after="40" w:line="240" w:lineRule="auto"/>
              <w:ind w:right="131"/>
              <w:jc w:val="both"/>
              <w:rPr>
                <w:sz w:val="20"/>
                <w:szCs w:val="20"/>
              </w:rPr>
            </w:pPr>
            <w:r w:rsidRPr="00460D1A">
              <w:rPr>
                <w:sz w:val="20"/>
                <w:szCs w:val="20"/>
              </w:rPr>
              <w:t>System automatycznego i proaktywnego wsparcia dla macierzy z użyciem sztucznej inteligencji.</w:t>
            </w:r>
          </w:p>
          <w:p w14:paraId="49CCBC97" w14:textId="043A0F41" w:rsidR="00460D1A" w:rsidRPr="00460D1A" w:rsidRDefault="00460D1A" w:rsidP="00460D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Portal lub oprogramowanie może pochodzić od innego producenta niż producent macierzy pod warunkiem, iż zostanie dostarczona odpowiednia licencja do maksymalnej pojemności macierzy.</w:t>
            </w:r>
          </w:p>
        </w:tc>
        <w:tc>
          <w:tcPr>
            <w:tcW w:w="4820" w:type="dxa"/>
          </w:tcPr>
          <w:p w14:paraId="4E6BD4EE" w14:textId="77777777" w:rsidR="00460D1A" w:rsidRPr="00460D1A" w:rsidRDefault="00460D1A" w:rsidP="00460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lastRenderedPageBreak/>
              <w:t>Spełnia/nie spełnia</w:t>
            </w:r>
          </w:p>
        </w:tc>
      </w:tr>
      <w:tr w:rsidR="00460D1A" w:rsidRPr="00460D1A" w14:paraId="0E0FFF7A" w14:textId="77777777" w:rsidTr="00941437">
        <w:trPr>
          <w:trHeight w:val="340"/>
        </w:trPr>
        <w:tc>
          <w:tcPr>
            <w:tcW w:w="562" w:type="dxa"/>
            <w:vAlign w:val="center"/>
          </w:tcPr>
          <w:p w14:paraId="0CED5C13" w14:textId="77777777" w:rsidR="00460D1A" w:rsidRPr="00460D1A" w:rsidRDefault="00460D1A" w:rsidP="00460D1A">
            <w:pPr>
              <w:numPr>
                <w:ilvl w:val="0"/>
                <w:numId w:val="2"/>
              </w:numPr>
              <w:ind w:left="313" w:hanging="21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14:paraId="08F1FCE1" w14:textId="59BAC12C" w:rsidR="00460D1A" w:rsidRPr="00460D1A" w:rsidRDefault="00460D1A" w:rsidP="00460D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 xml:space="preserve">Zamawiający wymaga, </w:t>
            </w:r>
            <w:r w:rsidR="00923FB2">
              <w:rPr>
                <w:rFonts w:ascii="Tahoma" w:hAnsi="Tahoma" w:cs="Tahoma"/>
                <w:sz w:val="20"/>
                <w:szCs w:val="20"/>
              </w:rPr>
              <w:t>by</w:t>
            </w:r>
            <w:r w:rsidRPr="00460D1A">
              <w:rPr>
                <w:rFonts w:ascii="Tahoma" w:hAnsi="Tahoma" w:cs="Tahoma"/>
                <w:sz w:val="20"/>
                <w:szCs w:val="20"/>
              </w:rPr>
              <w:t xml:space="preserve"> powyższa macierz współpracowała z posiadanymi przez Zamawiającego przełącznikami SAN firmy Brocade G620, wyspecyfikowanymi w pkt. 4 ust. c</w:t>
            </w:r>
            <w:r w:rsidR="00B9762E">
              <w:rPr>
                <w:rFonts w:ascii="Tahoma" w:hAnsi="Tahoma" w:cs="Tahoma"/>
                <w:sz w:val="20"/>
                <w:szCs w:val="20"/>
              </w:rPr>
              <w:t xml:space="preserve"> Opisu Przedmiotu Zamówienia stanowiący Załącznik nr 1 do Umowy</w:t>
            </w:r>
            <w:r w:rsidRPr="00460D1A">
              <w:rPr>
                <w:rFonts w:ascii="Tahoma" w:hAnsi="Tahoma" w:cs="Tahoma"/>
                <w:sz w:val="20"/>
                <w:szCs w:val="20"/>
              </w:rPr>
              <w:t>. W zestawie niezbędne okablowanie (m.in. patchcordy FC MM) oraz zainstalowane w każdym kontrolerze moduły 32 Gb FC MM SFP+ umożliwiające komunikację z modułami zainstalowanymi w ww. przełącznikach SAN.</w:t>
            </w:r>
          </w:p>
        </w:tc>
        <w:tc>
          <w:tcPr>
            <w:tcW w:w="4820" w:type="dxa"/>
          </w:tcPr>
          <w:p w14:paraId="467EEB27" w14:textId="77777777" w:rsidR="00460D1A" w:rsidRPr="00460D1A" w:rsidRDefault="00460D1A" w:rsidP="00460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Spełnia/nie spełnia</w:t>
            </w:r>
          </w:p>
        </w:tc>
      </w:tr>
      <w:tr w:rsidR="00460D1A" w:rsidRPr="00460D1A" w14:paraId="548522FC" w14:textId="77777777" w:rsidTr="00773B19">
        <w:trPr>
          <w:trHeight w:val="340"/>
        </w:trPr>
        <w:tc>
          <w:tcPr>
            <w:tcW w:w="562" w:type="dxa"/>
            <w:vAlign w:val="center"/>
          </w:tcPr>
          <w:p w14:paraId="16C8A9AA" w14:textId="77777777" w:rsidR="00460D1A" w:rsidRPr="00460D1A" w:rsidRDefault="00460D1A" w:rsidP="00460D1A">
            <w:pPr>
              <w:numPr>
                <w:ilvl w:val="0"/>
                <w:numId w:val="2"/>
              </w:numPr>
              <w:ind w:left="313" w:hanging="21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</w:tcPr>
          <w:p w14:paraId="2B219708" w14:textId="26AA1CB2" w:rsidR="00460D1A" w:rsidRPr="00460D1A" w:rsidRDefault="00460D1A" w:rsidP="00460D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Macierz musi pozwalać na zasilenie z dwóch niezależnych źródeł prądu.</w:t>
            </w:r>
          </w:p>
        </w:tc>
        <w:tc>
          <w:tcPr>
            <w:tcW w:w="4820" w:type="dxa"/>
          </w:tcPr>
          <w:p w14:paraId="42ABD131" w14:textId="77777777" w:rsidR="00460D1A" w:rsidRPr="00460D1A" w:rsidRDefault="00460D1A" w:rsidP="00460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Spełnia/nie spełnia</w:t>
            </w:r>
          </w:p>
        </w:tc>
      </w:tr>
      <w:tr w:rsidR="00460D1A" w:rsidRPr="00460D1A" w14:paraId="374719FE" w14:textId="77777777" w:rsidTr="00773B19">
        <w:trPr>
          <w:trHeight w:val="340"/>
        </w:trPr>
        <w:tc>
          <w:tcPr>
            <w:tcW w:w="562" w:type="dxa"/>
            <w:vAlign w:val="center"/>
          </w:tcPr>
          <w:p w14:paraId="129C03C1" w14:textId="77777777" w:rsidR="00460D1A" w:rsidRPr="00460D1A" w:rsidRDefault="00460D1A" w:rsidP="00460D1A">
            <w:pPr>
              <w:numPr>
                <w:ilvl w:val="0"/>
                <w:numId w:val="2"/>
              </w:numPr>
              <w:ind w:left="313" w:hanging="21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647" w:type="dxa"/>
            <w:shd w:val="clear" w:color="auto" w:fill="auto"/>
          </w:tcPr>
          <w:p w14:paraId="2B4E5F8A" w14:textId="77777777" w:rsidR="00460D1A" w:rsidRPr="00460D1A" w:rsidRDefault="00460D1A" w:rsidP="00460D1A">
            <w:pPr>
              <w:ind w:left="11" w:right="13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36 miesięcy gwarancji oraz serwisu, zapewniając naprawę lub dostawę podzespołu zapasowego na następny dzień roboczy. Dostarczony serwis musi umożliwiać zgłaszanie awarii w trybie 24x7. W przypadku awarii krytycznej, serwis zapewni odpowiedź na zgłoszenie do 2 godzin od zgłoszenia. Serwis urządzeń musi być realizowany zgodnie z zaleceniami gwarancyjnymi producenta. Serwis nie może spowodować unieważnienia gwarancji. Serwis musi być wykonywany w miejscu instalacji sprzętu.</w:t>
            </w:r>
          </w:p>
          <w:p w14:paraId="78B3F5D7" w14:textId="77777777" w:rsidR="00460D1A" w:rsidRPr="00460D1A" w:rsidRDefault="00460D1A" w:rsidP="00460D1A">
            <w:pPr>
              <w:ind w:left="11"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Dostarczony system musi posiadać również 36 miesięcy subskrypcji dla dostarczonego wraz z macierzą oprogramowania, dostęp do portalu serwisowego producenta, dostęp do wiedzy i informacji technicznych dotyczących oferowanego urządzenia.</w:t>
            </w:r>
          </w:p>
          <w:p w14:paraId="2AEB289A" w14:textId="77777777" w:rsidR="00460D1A" w:rsidRPr="00460D1A" w:rsidRDefault="00460D1A" w:rsidP="00460D1A">
            <w:pPr>
              <w:ind w:left="11" w:right="13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System musi pochodzić z autoryzowanego kanału dystrybucji producenta i być objęta serwisem producenta na terenie Polski oraz nie będzie wersją OEM.</w:t>
            </w:r>
          </w:p>
          <w:p w14:paraId="0648AD4D" w14:textId="1A815A37" w:rsidR="00460D1A" w:rsidRPr="00460D1A" w:rsidRDefault="00460D1A" w:rsidP="00460D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W całym okresie gwarancji uszkodzone dyski pozostają własnością Zamawiającego.</w:t>
            </w:r>
          </w:p>
        </w:tc>
        <w:tc>
          <w:tcPr>
            <w:tcW w:w="4820" w:type="dxa"/>
          </w:tcPr>
          <w:p w14:paraId="2D2D2091" w14:textId="77777777" w:rsidR="00460D1A" w:rsidRPr="00460D1A" w:rsidRDefault="00460D1A" w:rsidP="00460D1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60D1A">
              <w:rPr>
                <w:rFonts w:ascii="Tahoma" w:hAnsi="Tahoma" w:cs="Tahoma"/>
                <w:sz w:val="20"/>
                <w:szCs w:val="20"/>
              </w:rPr>
              <w:t>Spełnia/nie spełnia</w:t>
            </w:r>
          </w:p>
        </w:tc>
      </w:tr>
    </w:tbl>
    <w:p w14:paraId="1C87AF75" w14:textId="77777777" w:rsidR="00D6009D" w:rsidRPr="005D3BB7" w:rsidRDefault="00D6009D">
      <w:pPr>
        <w:rPr>
          <w:rFonts w:ascii="Tahoma" w:hAnsi="Tahoma" w:cs="Tahoma"/>
        </w:rPr>
      </w:pPr>
      <w:r w:rsidRPr="005D3BB7">
        <w:rPr>
          <w:rFonts w:ascii="Tahoma" w:hAnsi="Tahoma" w:cs="Tahoma"/>
        </w:rPr>
        <w:t>*podkreślić właściwe</w:t>
      </w:r>
    </w:p>
    <w:p w14:paraId="1C62D50D" w14:textId="77777777" w:rsidR="00D6009D" w:rsidRPr="005D3BB7" w:rsidRDefault="00D6009D">
      <w:pPr>
        <w:rPr>
          <w:rFonts w:ascii="Tahoma" w:hAnsi="Tahoma" w:cs="Tahoma"/>
        </w:rPr>
      </w:pPr>
    </w:p>
    <w:p w14:paraId="5B2FC93B" w14:textId="77777777" w:rsidR="00BD5C1D" w:rsidRDefault="00D6009D" w:rsidP="00BD5C1D">
      <w:pPr>
        <w:autoSpaceDE w:val="0"/>
        <w:autoSpaceDN w:val="0"/>
        <w:adjustRightInd w:val="0"/>
        <w:spacing w:line="360" w:lineRule="auto"/>
        <w:ind w:left="4320"/>
        <w:jc w:val="right"/>
        <w:rPr>
          <w:rFonts w:ascii="Tahoma" w:hAnsi="Tahoma" w:cs="Tahoma"/>
        </w:rPr>
      </w:pPr>
      <w:r w:rsidRPr="005D3BB7">
        <w:rPr>
          <w:rFonts w:ascii="Tahoma" w:hAnsi="Tahoma" w:cs="Tahoma"/>
        </w:rPr>
        <w:t>………………………………………………..</w:t>
      </w:r>
    </w:p>
    <w:p w14:paraId="303F44B2" w14:textId="5E28B836" w:rsidR="00BD5C1D" w:rsidRPr="00894AF9" w:rsidRDefault="00BD5C1D" w:rsidP="00BD5C1D">
      <w:pPr>
        <w:autoSpaceDE w:val="0"/>
        <w:autoSpaceDN w:val="0"/>
        <w:adjustRightInd w:val="0"/>
        <w:spacing w:line="360" w:lineRule="auto"/>
        <w:ind w:left="4320"/>
        <w:jc w:val="right"/>
        <w:rPr>
          <w:rFonts w:cstheme="minorHAnsi"/>
          <w:bCs/>
          <w:sz w:val="24"/>
          <w:szCs w:val="24"/>
        </w:rPr>
      </w:pPr>
      <w:r w:rsidRPr="00894AF9">
        <w:rPr>
          <w:rFonts w:cstheme="minorHAnsi"/>
          <w:bCs/>
          <w:sz w:val="24"/>
          <w:szCs w:val="24"/>
        </w:rPr>
        <w:t>(podpis zgodnie z zasadami określonymi w SWZ)</w:t>
      </w:r>
    </w:p>
    <w:p w14:paraId="16941A62" w14:textId="063B3D34" w:rsidR="00D6009D" w:rsidRPr="005D3BB7" w:rsidRDefault="00D6009D" w:rsidP="00D6009D">
      <w:pPr>
        <w:jc w:val="right"/>
        <w:rPr>
          <w:rFonts w:ascii="Tahoma" w:hAnsi="Tahoma" w:cs="Tahoma"/>
        </w:rPr>
      </w:pPr>
    </w:p>
    <w:sectPr w:rsidR="00D6009D" w:rsidRPr="005D3BB7" w:rsidSect="00D600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B6C"/>
    <w:multiLevelType w:val="hybridMultilevel"/>
    <w:tmpl w:val="A372E16E"/>
    <w:lvl w:ilvl="0" w:tplc="C7A0D488">
      <w:numFmt w:val="bullet"/>
      <w:lvlText w:val="•"/>
      <w:lvlJc w:val="left"/>
      <w:pPr>
        <w:ind w:left="716" w:hanging="705"/>
      </w:pPr>
      <w:rPr>
        <w:rFonts w:ascii="Tahoma" w:eastAsia="Tahom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23064C9F"/>
    <w:multiLevelType w:val="hybridMultilevel"/>
    <w:tmpl w:val="8FAA0FF2"/>
    <w:lvl w:ilvl="0" w:tplc="0415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27D1470F"/>
    <w:multiLevelType w:val="hybridMultilevel"/>
    <w:tmpl w:val="5AF84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96E8E"/>
    <w:multiLevelType w:val="multilevel"/>
    <w:tmpl w:val="2E549D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14"/>
        </w:tabs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15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58"/>
        </w:tabs>
        <w:ind w:left="265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2"/>
        </w:tabs>
        <w:ind w:left="316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66"/>
        </w:tabs>
        <w:ind w:left="366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746"/>
        </w:tabs>
        <w:ind w:left="4746" w:hanging="1440"/>
      </w:pPr>
      <w:rPr>
        <w:rFonts w:cs="Times New Roman"/>
      </w:rPr>
    </w:lvl>
  </w:abstractNum>
  <w:abstractNum w:abstractNumId="4" w15:restartNumberingAfterBreak="0">
    <w:nsid w:val="3B6C6469"/>
    <w:multiLevelType w:val="hybridMultilevel"/>
    <w:tmpl w:val="9EA6AC46"/>
    <w:lvl w:ilvl="0" w:tplc="041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3ECA0639"/>
    <w:multiLevelType w:val="hybridMultilevel"/>
    <w:tmpl w:val="D0723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D14E7"/>
    <w:multiLevelType w:val="hybridMultilevel"/>
    <w:tmpl w:val="49F23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6670F"/>
    <w:multiLevelType w:val="hybridMultilevel"/>
    <w:tmpl w:val="E8DE2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54D1F"/>
    <w:multiLevelType w:val="hybridMultilevel"/>
    <w:tmpl w:val="A828A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25227"/>
    <w:multiLevelType w:val="hybridMultilevel"/>
    <w:tmpl w:val="E806E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987532">
    <w:abstractNumId w:val="3"/>
  </w:num>
  <w:num w:numId="2" w16cid:durableId="955336495">
    <w:abstractNumId w:val="2"/>
  </w:num>
  <w:num w:numId="3" w16cid:durableId="1934361946">
    <w:abstractNumId w:val="7"/>
  </w:num>
  <w:num w:numId="4" w16cid:durableId="1871915796">
    <w:abstractNumId w:val="6"/>
  </w:num>
  <w:num w:numId="5" w16cid:durableId="1348486899">
    <w:abstractNumId w:val="8"/>
  </w:num>
  <w:num w:numId="6" w16cid:durableId="428936883">
    <w:abstractNumId w:val="5"/>
  </w:num>
  <w:num w:numId="7" w16cid:durableId="374894188">
    <w:abstractNumId w:val="1"/>
  </w:num>
  <w:num w:numId="8" w16cid:durableId="1835224881">
    <w:abstractNumId w:val="0"/>
  </w:num>
  <w:num w:numId="9" w16cid:durableId="1882015329">
    <w:abstractNumId w:val="4"/>
  </w:num>
  <w:num w:numId="10" w16cid:durableId="1088038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09D"/>
    <w:rsid w:val="000C227C"/>
    <w:rsid w:val="00113BD2"/>
    <w:rsid w:val="00211C8A"/>
    <w:rsid w:val="00460D1A"/>
    <w:rsid w:val="004A06D5"/>
    <w:rsid w:val="005D143E"/>
    <w:rsid w:val="005D3BB7"/>
    <w:rsid w:val="0067422A"/>
    <w:rsid w:val="006D75DB"/>
    <w:rsid w:val="0084639F"/>
    <w:rsid w:val="00850BF0"/>
    <w:rsid w:val="008A2EFF"/>
    <w:rsid w:val="00923FB2"/>
    <w:rsid w:val="00B9762E"/>
    <w:rsid w:val="00BD5C1D"/>
    <w:rsid w:val="00C60CDC"/>
    <w:rsid w:val="00D6009D"/>
    <w:rsid w:val="00E175C3"/>
    <w:rsid w:val="00E745F1"/>
    <w:rsid w:val="00E9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6B82"/>
  <w15:chartTrackingRefBased/>
  <w15:docId w15:val="{28D1D72A-87EA-4AA1-8DEA-2BB961B5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D3BB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D3BB7"/>
    <w:pPr>
      <w:spacing w:after="5" w:line="271" w:lineRule="auto"/>
      <w:ind w:left="720" w:hanging="370"/>
      <w:contextualSpacing/>
    </w:pPr>
    <w:rPr>
      <w:rFonts w:ascii="Tahoma" w:eastAsia="Tahoma" w:hAnsi="Tahoma" w:cs="Tahoma"/>
      <w:color w:val="000000"/>
      <w:lang w:eastAsia="pl-PL"/>
    </w:rPr>
  </w:style>
  <w:style w:type="paragraph" w:styleId="NormalnyWeb">
    <w:name w:val="Normal (Web)"/>
    <w:basedOn w:val="Normalny"/>
    <w:unhideWhenUsed/>
    <w:rsid w:val="005D3B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5D3BB7"/>
    <w:rPr>
      <w:rFonts w:ascii="Tahoma" w:eastAsia="Tahoma" w:hAnsi="Tahoma" w:cs="Tahoma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50BF0"/>
    <w:rPr>
      <w:sz w:val="16"/>
      <w:szCs w:val="16"/>
    </w:rPr>
  </w:style>
  <w:style w:type="paragraph" w:styleId="Poprawka">
    <w:name w:val="Revision"/>
    <w:hidden/>
    <w:uiPriority w:val="99"/>
    <w:semiHidden/>
    <w:rsid w:val="00923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117D-1ECB-4815-A1F7-A3B9F3DF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1389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Wrocław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 Janusz</dc:creator>
  <cp:keywords/>
  <dc:description/>
  <cp:lastModifiedBy>Koczakowska Dorota</cp:lastModifiedBy>
  <cp:revision>3</cp:revision>
  <dcterms:created xsi:type="dcterms:W3CDTF">2022-06-09T11:08:00Z</dcterms:created>
  <dcterms:modified xsi:type="dcterms:W3CDTF">2022-06-09T11:15:00Z</dcterms:modified>
</cp:coreProperties>
</file>